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626EF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0A08D5" w:rsidRPr="000A08D5" w:rsidRDefault="000A08D5" w:rsidP="002B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C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Pr="000A08D5" w:rsidRDefault="002B1B07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EC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C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626EF" w:rsidRPr="00DC743A" w:rsidRDefault="00D626EF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428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165428" w:rsidRP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165428"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6EF" w:rsidRPr="00DC743A" w:rsidRDefault="00D626EF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626EF" w:rsidRDefault="00D626EF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EC6757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2018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28">
              <w:rPr>
                <w:rFonts w:ascii="Times New Roman" w:eastAsia="Calibri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EC67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2B1B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2B1B07">
              <w:rPr>
                <w:rFonts w:ascii="Times New Roman" w:eastAsia="Calibri" w:hAnsi="Times New Roman" w:cs="Times New Roman"/>
                <w:sz w:val="28"/>
                <w:szCs w:val="28"/>
              </w:rPr>
              <w:t>В.В. Иванов</w:t>
            </w:r>
          </w:p>
        </w:tc>
        <w:tc>
          <w:tcPr>
            <w:tcW w:w="5065" w:type="dxa"/>
          </w:tcPr>
          <w:p w:rsidR="00DC743A" w:rsidRPr="00DC743A" w:rsidRDefault="00DC743A" w:rsidP="002B1B07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165428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(базовой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1. Документирование хозяйственных операций и ведение бухгалтерского учета 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5428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165428" w:rsidRP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C6757" w:rsidRPr="00EC6757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165428">
        <w:rPr>
          <w:rFonts w:ascii="Times New Roman" w:hAnsi="Times New Roman" w:cs="Times New Roman"/>
          <w:i/>
          <w:sz w:val="28"/>
          <w:szCs w:val="28"/>
        </w:rPr>
        <w:t>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рабочего плана счетов бухгалтерского учета;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2.5. Проводить процедуры инвентаризации финансовых обязательств организации;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lastRenderedPageBreak/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3. Проведение расчетов с бюджетом и внебюджетными фондами.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165428" w:rsidRP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4. Составление и использование бухгалтерской отчетности.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4.5. Принимать участие в составлении бизнес-плана;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165428" w:rsidRP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4.7. Проводить мониторинг устранения менеджментом выявленных нарушений, недостатков и рисков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3C4F93" w:rsidRPr="003C4F93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5. Выполнение работ по одной или нескольким профессиям рабочих, должностям служащих.</w:t>
      </w:r>
    </w:p>
    <w:p w:rsidR="003C4F93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</w:t>
      </w:r>
      <w:r w:rsidRPr="003C4F93">
        <w:rPr>
          <w:rFonts w:ascii="Times New Roman" w:hAnsi="Times New Roman" w:cs="Times New Roman"/>
          <w:sz w:val="28"/>
          <w:szCs w:val="28"/>
        </w:rPr>
        <w:lastRenderedPageBreak/>
        <w:t xml:space="preserve">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Экономика и бухгалтерский учет (по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отраслям)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EC6757">
        <w:rPr>
          <w:rFonts w:ascii="Times New Roman" w:hAnsi="Times New Roman" w:cs="Times New Roman"/>
          <w:sz w:val="28"/>
          <w:szCs w:val="28"/>
        </w:rPr>
        <w:t>28</w:t>
      </w:r>
      <w:r w:rsidR="00EC6757" w:rsidRPr="00EC6757">
        <w:rPr>
          <w:rFonts w:ascii="Times New Roman" w:hAnsi="Times New Roman" w:cs="Times New Roman"/>
          <w:sz w:val="28"/>
          <w:szCs w:val="28"/>
        </w:rPr>
        <w:t xml:space="preserve"> </w:t>
      </w:r>
      <w:r w:rsidR="00EC6757">
        <w:rPr>
          <w:rFonts w:ascii="Times New Roman" w:hAnsi="Times New Roman" w:cs="Times New Roman"/>
          <w:sz w:val="28"/>
          <w:szCs w:val="28"/>
        </w:rPr>
        <w:t>июля</w:t>
      </w:r>
      <w:r w:rsidR="00EC6757" w:rsidRPr="00EC6757">
        <w:rPr>
          <w:rFonts w:ascii="Times New Roman" w:hAnsi="Times New Roman" w:cs="Times New Roman"/>
          <w:sz w:val="28"/>
          <w:szCs w:val="28"/>
        </w:rPr>
        <w:t xml:space="preserve"> 201</w:t>
      </w:r>
      <w:r w:rsidR="00EC6757">
        <w:rPr>
          <w:rFonts w:ascii="Times New Roman" w:hAnsi="Times New Roman" w:cs="Times New Roman"/>
          <w:sz w:val="28"/>
          <w:szCs w:val="28"/>
        </w:rPr>
        <w:t>4</w:t>
      </w:r>
      <w:r w:rsidR="00EC6757" w:rsidRPr="00EC6757">
        <w:rPr>
          <w:rFonts w:ascii="Times New Roman" w:hAnsi="Times New Roman" w:cs="Times New Roman"/>
          <w:sz w:val="28"/>
          <w:szCs w:val="28"/>
        </w:rPr>
        <w:t xml:space="preserve"> г. </w:t>
      </w:r>
      <w:r w:rsidR="00EC6757">
        <w:rPr>
          <w:rFonts w:ascii="Times New Roman" w:hAnsi="Times New Roman" w:cs="Times New Roman"/>
          <w:sz w:val="28"/>
          <w:szCs w:val="28"/>
        </w:rPr>
        <w:t>№</w:t>
      </w:r>
      <w:r w:rsidR="00EC6757" w:rsidRPr="00EC6757">
        <w:rPr>
          <w:rFonts w:ascii="Times New Roman" w:hAnsi="Times New Roman" w:cs="Times New Roman"/>
          <w:sz w:val="28"/>
          <w:szCs w:val="28"/>
        </w:rPr>
        <w:t xml:space="preserve"> </w:t>
      </w:r>
      <w:r w:rsidR="00EC6757">
        <w:rPr>
          <w:rFonts w:ascii="Times New Roman" w:hAnsi="Times New Roman" w:cs="Times New Roman"/>
          <w:sz w:val="28"/>
          <w:szCs w:val="28"/>
        </w:rPr>
        <w:t>832</w:t>
      </w:r>
      <w:r w:rsidRPr="003C4F9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Экономика и бухгалтерский учет (по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EC6757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EC6757" w:rsidRPr="00EC6757">
        <w:rPr>
          <w:rFonts w:ascii="Times New Roman" w:hAnsi="Times New Roman" w:cs="Times New Roman"/>
          <w:sz w:val="28"/>
          <w:szCs w:val="28"/>
        </w:rPr>
        <w:t>от 28 июля 2014 г. № 832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D42992">
        <w:rPr>
          <w:rFonts w:ascii="Times New Roman" w:hAnsi="Times New Roman" w:cs="Times New Roman"/>
          <w:sz w:val="28"/>
          <w:szCs w:val="28"/>
        </w:rPr>
        <w:t xml:space="preserve">38.02.01 </w:t>
      </w:r>
      <w:r w:rsidR="00D42992" w:rsidRPr="00D42992">
        <w:rPr>
          <w:rFonts w:ascii="Times New Roman" w:hAnsi="Times New Roman" w:cs="Times New Roman"/>
          <w:sz w:val="28"/>
          <w:szCs w:val="28"/>
        </w:rPr>
        <w:lastRenderedPageBreak/>
        <w:t>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подго</w:t>
      </w:r>
      <w:r w:rsidR="00EC6757">
        <w:rPr>
          <w:rFonts w:ascii="Times New Roman" w:hAnsi="Times New Roman" w:cs="Times New Roman"/>
          <w:sz w:val="28"/>
          <w:szCs w:val="28"/>
        </w:rPr>
        <w:t>товку четыре недели с 18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EC6757">
        <w:rPr>
          <w:rFonts w:ascii="Times New Roman" w:hAnsi="Times New Roman" w:cs="Times New Roman"/>
          <w:sz w:val="28"/>
          <w:szCs w:val="28"/>
        </w:rPr>
        <w:t>9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2B1B07">
        <w:rPr>
          <w:rFonts w:ascii="Times New Roman" w:hAnsi="Times New Roman" w:cs="Times New Roman"/>
          <w:sz w:val="28"/>
          <w:szCs w:val="28"/>
        </w:rPr>
        <w:t>1</w:t>
      </w:r>
      <w:r w:rsidR="00EC6757">
        <w:rPr>
          <w:rFonts w:ascii="Times New Roman" w:hAnsi="Times New Roman" w:cs="Times New Roman"/>
          <w:sz w:val="28"/>
          <w:szCs w:val="28"/>
        </w:rPr>
        <w:t>4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EC6757">
        <w:rPr>
          <w:rFonts w:ascii="Times New Roman" w:hAnsi="Times New Roman" w:cs="Times New Roman"/>
          <w:sz w:val="28"/>
          <w:szCs w:val="28"/>
        </w:rPr>
        <w:t>9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EC6757">
        <w:rPr>
          <w:rFonts w:ascii="Times New Roman" w:hAnsi="Times New Roman" w:cs="Times New Roman"/>
          <w:sz w:val="28"/>
          <w:szCs w:val="28"/>
        </w:rPr>
        <w:t>5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EC6757">
        <w:rPr>
          <w:rFonts w:ascii="Times New Roman" w:hAnsi="Times New Roman" w:cs="Times New Roman"/>
          <w:sz w:val="28"/>
          <w:szCs w:val="28"/>
        </w:rPr>
        <w:t>9 по 28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EC6757">
        <w:rPr>
          <w:rFonts w:ascii="Times New Roman" w:hAnsi="Times New Roman" w:cs="Times New Roman"/>
          <w:sz w:val="28"/>
          <w:szCs w:val="28"/>
        </w:rPr>
        <w:t>9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уважительной причине – в течение четырех месяцев со дня подачи </w:t>
      </w:r>
      <w:r w:rsidR="00EC6757">
        <w:rPr>
          <w:rFonts w:ascii="Times New Roman" w:hAnsi="Times New Roman" w:cs="Times New Roman"/>
          <w:sz w:val="28"/>
          <w:szCs w:val="28"/>
        </w:rPr>
        <w:t>за</w:t>
      </w:r>
      <w:r w:rsidRPr="00C11145">
        <w:rPr>
          <w:rFonts w:ascii="Times New Roman" w:hAnsi="Times New Roman" w:cs="Times New Roman"/>
          <w:sz w:val="28"/>
          <w:szCs w:val="28"/>
        </w:rPr>
        <w:t>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>из экономического комплекса страны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знаков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D42992">
        <w:rPr>
          <w:rFonts w:ascii="Times New Roman" w:hAnsi="Times New Roman" w:cs="Times New Roman"/>
          <w:sz w:val="28"/>
          <w:szCs w:val="28"/>
        </w:rPr>
        <w:t>бухгалтера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D42992">
        <w:rPr>
          <w:rFonts w:ascii="Times New Roman" w:hAnsi="Times New Roman" w:cs="Times New Roman"/>
          <w:sz w:val="28"/>
          <w:szCs w:val="28"/>
        </w:rPr>
        <w:t>предприятия и организации различных форм собственности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студентом при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зрения,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Дипломная работа студентов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характеризующих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позднее четырех месяцев после подачи заявления лицом,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B357A1" w:rsidRPr="00B357A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1C1EEF" w:rsidRPr="001C1EEF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E3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B1B07">
        <w:rPr>
          <w:rFonts w:ascii="Times New Roman" w:hAnsi="Times New Roman" w:cs="Times New Roman"/>
          <w:sz w:val="28"/>
          <w:szCs w:val="28"/>
        </w:rPr>
        <w:t>платежеспособности и ликвидности предприятия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финансовых результатов деятельности предприятия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финансовых результатов предприятия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финансового состояния предприятия и пути его улучшения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Анализ себестоимости продукции и пути ее снижения (на примере  </w:t>
      </w:r>
      <w:r w:rsidR="000052D2" w:rsidRPr="002B1B07">
        <w:rPr>
          <w:rFonts w:ascii="Times New Roman" w:hAnsi="Times New Roman" w:cs="Times New Roman"/>
          <w:sz w:val="28"/>
          <w:szCs w:val="28"/>
        </w:rPr>
        <w:t>предприятия</w:t>
      </w:r>
      <w:r w:rsidRPr="002B1B07">
        <w:rPr>
          <w:rFonts w:ascii="Times New Roman" w:hAnsi="Times New Roman" w:cs="Times New Roman"/>
          <w:sz w:val="28"/>
          <w:szCs w:val="28"/>
        </w:rPr>
        <w:t>)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0052D2" w:rsidRPr="002B1B07" w:rsidRDefault="000052D2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ценовой политики предприятия (на примере организации).</w:t>
      </w:r>
    </w:p>
    <w:p w:rsidR="000052D2" w:rsidRPr="002B1B07" w:rsidRDefault="000052D2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эффективности использования оборотных средств предприятия (на примере организации).</w:t>
      </w:r>
    </w:p>
    <w:p w:rsidR="000052D2" w:rsidRPr="002B1B07" w:rsidRDefault="000052D2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и оценка эффективности использования оборотных средств (на примере организации).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6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производства и реализации продукции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плана производства и реализации товаров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производства и реализации продукции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ритмичности работы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трудовых ресурсов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рабочего времени. Анализ производительности труда и трудоемкости продукции.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фонда оплаты труда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эффективности использования  основных фондов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использования материальных ресурсов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состава и структуры прибыли предприятия от реализации основной продукции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рентабельности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финансовой устойчивости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платежеспособности и ликвидности предприятия</w:t>
      </w:r>
    </w:p>
    <w:p w:rsidR="00C14A50" w:rsidRPr="00F56F22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вероятности банкротства на примере конкретного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маркетинговой деятельности предприятия.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конкурентоспособности предприятия.</w:t>
      </w:r>
    </w:p>
    <w:p w:rsidR="001C1EEF" w:rsidRPr="002B1B07" w:rsidRDefault="001C1EEF" w:rsidP="00C14A50">
      <w:pPr>
        <w:pStyle w:val="a3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основных средств организации, эффективность их использования (на примере предприятия).</w:t>
      </w:r>
    </w:p>
    <w:p w:rsidR="001C1EEF" w:rsidRPr="002B1B07" w:rsidRDefault="001C1EEF" w:rsidP="00C14A50">
      <w:pPr>
        <w:pStyle w:val="a3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материально-производственных запасов организации, эффективность их использования (на примере предприятия).</w:t>
      </w:r>
    </w:p>
    <w:p w:rsidR="001C1EEF" w:rsidRPr="002B1B07" w:rsidRDefault="001C1EEF" w:rsidP="00C14A50">
      <w:pPr>
        <w:pStyle w:val="a3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готовой продукции, ее реализации (на примере предприятия).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кредиторской задолженности, оценка ликвидности организации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lastRenderedPageBreak/>
        <w:t>Бухгалтерский учет и анализ использования материальных ресурсов организации (на примере организации).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аудит денежных средств (на примере организации)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движения денежных средств, оценка платежеспособности организации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расчетов с поставщиками и подрядчиками (на примере предприятия).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дебиторской задолженности и резервов по сомнительным долгам (на примере предприятия).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финансовых результатов организации, отражение финансовых результатов в бухгалтерской отчетности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учёт и анализ расчетов с покупателями и заказчиками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расчетов с государственными внебюджетными фондами (на примере предприятия).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расчетов с персоналом по оплате труда и анализ использования трудовых ресурсов (на примере предприятия).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расчетов с бюджетом по налогам и сборам (на примере предприятия).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формирования финансового результата и пути его совершенствования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оборотных активов предприятия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расчетов по кредитам и займам, анализ эффективности их использования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учет, анализ и внутренний контроль расчетов с подотчетными лицами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собственного капитала, оценка финансовой независимости организации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учет, оценка и анализ доходов организации.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учёт и анализ формирования и использования оборотных активов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Бухгалтерская отчетность организации: состав, требования к ее составлению и анализ основных показателей (на примере организации).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аудит в на предприятии розничной торговли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Инвентаризация и оценка имущества и обязательств организации (на примере организации).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Инвентаризация как элемент метода бухгалтерского учета на примере </w:t>
      </w:r>
      <w:r w:rsidR="000052D2" w:rsidRPr="002B1B07">
        <w:rPr>
          <w:rFonts w:ascii="Times New Roman" w:hAnsi="Times New Roman" w:cs="Times New Roman"/>
          <w:sz w:val="28"/>
          <w:szCs w:val="28"/>
        </w:rPr>
        <w:t>организации</w:t>
      </w:r>
      <w:r w:rsidRPr="002B1B07">
        <w:rPr>
          <w:rFonts w:ascii="Times New Roman" w:hAnsi="Times New Roman" w:cs="Times New Roman"/>
          <w:sz w:val="28"/>
          <w:szCs w:val="28"/>
        </w:rPr>
        <w:t>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lastRenderedPageBreak/>
        <w:t>Инвестиционная деятельность предприятия (на примере организации)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Методы и системы учёта затрат и </w:t>
      </w:r>
      <w:proofErr w:type="spellStart"/>
      <w:r w:rsidRPr="002B1B07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2B1B07">
        <w:rPr>
          <w:rFonts w:ascii="Times New Roman" w:hAnsi="Times New Roman" w:cs="Times New Roman"/>
          <w:sz w:val="28"/>
          <w:szCs w:val="28"/>
        </w:rPr>
        <w:t xml:space="preserve"> себестоимости продукции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Налоговый учёт и контроль правильности его ведения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Особенности бухгалтерского учета и налогообложения индивидуальных предпринимателей, применяющих упрощенную систему налогообложения (на примере организации).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Особенности бухгалтерского учета затрат, </w:t>
      </w:r>
      <w:proofErr w:type="spellStart"/>
      <w:r w:rsidRPr="002B1B07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2B1B07">
        <w:rPr>
          <w:rFonts w:ascii="Times New Roman" w:hAnsi="Times New Roman" w:cs="Times New Roman"/>
          <w:sz w:val="28"/>
          <w:szCs w:val="28"/>
        </w:rPr>
        <w:t xml:space="preserve"> и анализ себестоимости продукции (на примере предприятия).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Организация учета наличных денежных средств на предприятии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Организация учета оплаты труда на предприятии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Организация бухгалтерского учета на предприятии.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Организация бухгалтерского учета и аудита дебиторской и кредиторской задолженности (на примере организации).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Оптимизация движения денежных средств предприятия (на примере организации).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Порядок ведения бухгалтерского баланса предприятия.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Пути повышения конкурентоспособности предприятия (на примере организации)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Составление годовой бухгалтерской отчетности и анализ ее показателей. 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бухгалтерского учета на примере организации. 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Совершенствование конкурентоспособности предприятия (на примере организации 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Учет и анализ кредитов и займов в бухгалтерской отчетности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Учет, оценка и анализ долгосрочных и краткосрочных вложений (на примере организации).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Учетная политика организации, принципы формирования, раскрытия и оценка ее эффективности (на примере предприятия).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Учет труда и расчетов с персоналом (на примере организации)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C1EEF" w:rsidRPr="002B1B07" w:rsidRDefault="001C1EEF" w:rsidP="0013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20E16" wp14:editId="67433DED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8054DC" w:rsidRPr="0041321F" w:rsidRDefault="008054DC" w:rsidP="00413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38.02.01 «Экономика и бухгалтерский учет (по отраслям)»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1321F" w:rsidRPr="0041321F" w:rsidRDefault="0041321F" w:rsidP="0041321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1321F" w:rsidRPr="0041321F" w:rsidRDefault="0041321F" w:rsidP="0041321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Налоговый учёт и контроль правильности его ведения (на примере ООО «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Глобал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Ривет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Исследование информации  и проведение анализа  состава и структуры основных средств и их технического состояния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обеспеченности основными фондами хозяйствующего субъекта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объема, структуры и динамики основных фондов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качественного состояния основных фондов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 Ра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c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счет показателей использования основных фондов.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2.2 Анализ обеспеченности хозяйствующего субъекта производственным оборудованием и эффективности его использования.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Расчет и анализ использования производственной мощности.  Виды производственной мощности и их расчеты. 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2.4 Оценка технического состояния ОПФ и их резервы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41321F" w:rsidRPr="0041321F" w:rsidRDefault="0041321F" w:rsidP="004132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экономических дисциплин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Ю.В. Гладких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41321F" w:rsidRPr="0041321F" w:rsidTr="00131CE3">
        <w:trPr>
          <w:cantSplit/>
        </w:trPr>
        <w:tc>
          <w:tcPr>
            <w:tcW w:w="4962" w:type="dxa"/>
            <w:vMerge w:val="restart"/>
            <w:vAlign w:val="center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41321F" w:rsidRPr="0041321F" w:rsidTr="00131CE3">
        <w:trPr>
          <w:cantSplit/>
        </w:trPr>
        <w:tc>
          <w:tcPr>
            <w:tcW w:w="4962" w:type="dxa"/>
            <w:vMerge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2C0E0C" w:rsidRPr="0041321F" w:rsidRDefault="0041321F" w:rsidP="0041321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41321F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76E319" wp14:editId="4FF2F459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00" wp14:editId="0649116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38.02.01 Экономика и бухгалтерский учет (по отраслям)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F4F54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83A" w:rsidRPr="0057683A" w:rsidRDefault="00DF4F54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57683A" w:rsidRDefault="0057683A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DF4F54" w:rsidRPr="00FB4269" w:rsidRDefault="00DF4F54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Налоговый учёт и контроль правильности его ведения (на примере ООО «Глобал Ривет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40"/>
          <w:lang w:eastAsia="ru-RU"/>
        </w:rPr>
        <w:t>»)»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2C0E0C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Алин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Андревн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57683A" w:rsidRP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FB4269"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57683A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2C0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="0041321F" w:rsidRPr="0041321F">
        <w:t xml:space="preserve">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к.ф.н., доцент</w:t>
      </w:r>
      <w:r w:rsidR="0057683A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Моисеева Мария Сергеевна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57683A" w:rsidRP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«____»______________201__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57683A" w:rsidRPr="0057683A" w:rsidTr="004A026E">
        <w:tc>
          <w:tcPr>
            <w:tcW w:w="5388" w:type="dxa"/>
            <w:hideMark/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57683A" w:rsidRPr="0057683A" w:rsidRDefault="0057683A" w:rsidP="002C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57683A" w:rsidRPr="0057683A" w:rsidTr="004A026E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683A" w:rsidRPr="0057683A" w:rsidTr="004A026E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2C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57683A" w:rsidRPr="0057683A" w:rsidTr="004A026E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C0E0C" w:rsidRDefault="002C0E0C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DF4F54" w:rsidRPr="00DF4F54" w:rsidRDefault="00DF4F54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Pr="00DC743A" w:rsidRDefault="0057683A" w:rsidP="00DF4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201</w:t>
      </w:r>
      <w:r w:rsidR="00EC675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9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sectPr w:rsidR="000A62E5" w:rsidRPr="00DC743A" w:rsidSect="00D626EF">
      <w:footerReference w:type="default" r:id="rId10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BA" w:rsidRDefault="00C80FBA" w:rsidP="00376333">
      <w:pPr>
        <w:spacing w:after="0" w:line="240" w:lineRule="auto"/>
      </w:pPr>
      <w:r>
        <w:separator/>
      </w:r>
    </w:p>
  </w:endnote>
  <w:endnote w:type="continuationSeparator" w:id="0">
    <w:p w:rsidR="00C80FBA" w:rsidRDefault="00C80FBA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8054DC" w:rsidRDefault="008054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BA" w:rsidRDefault="00C80FBA" w:rsidP="00376333">
      <w:pPr>
        <w:spacing w:after="0" w:line="240" w:lineRule="auto"/>
      </w:pPr>
      <w:r>
        <w:separator/>
      </w:r>
    </w:p>
  </w:footnote>
  <w:footnote w:type="continuationSeparator" w:id="0">
    <w:p w:rsidR="00C80FBA" w:rsidRDefault="00C80FBA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1E"/>
    <w:multiLevelType w:val="hybridMultilevel"/>
    <w:tmpl w:val="621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052D2"/>
    <w:rsid w:val="00043134"/>
    <w:rsid w:val="000A08D5"/>
    <w:rsid w:val="000A62E5"/>
    <w:rsid w:val="000B127E"/>
    <w:rsid w:val="001149AE"/>
    <w:rsid w:val="00131CE3"/>
    <w:rsid w:val="00165428"/>
    <w:rsid w:val="00175030"/>
    <w:rsid w:val="001A6FC6"/>
    <w:rsid w:val="001C1EEF"/>
    <w:rsid w:val="002B1B07"/>
    <w:rsid w:val="002C0E0C"/>
    <w:rsid w:val="002C691C"/>
    <w:rsid w:val="00376333"/>
    <w:rsid w:val="0039761A"/>
    <w:rsid w:val="003C4F93"/>
    <w:rsid w:val="0041321F"/>
    <w:rsid w:val="0047742E"/>
    <w:rsid w:val="004A026E"/>
    <w:rsid w:val="004D452F"/>
    <w:rsid w:val="00500D29"/>
    <w:rsid w:val="00550E8C"/>
    <w:rsid w:val="0057683A"/>
    <w:rsid w:val="005C4B0D"/>
    <w:rsid w:val="005D1B8F"/>
    <w:rsid w:val="0062371D"/>
    <w:rsid w:val="00667E19"/>
    <w:rsid w:val="0068058B"/>
    <w:rsid w:val="006970EC"/>
    <w:rsid w:val="006B3C1C"/>
    <w:rsid w:val="006E243C"/>
    <w:rsid w:val="007368A6"/>
    <w:rsid w:val="007B46BC"/>
    <w:rsid w:val="008054DC"/>
    <w:rsid w:val="00816DA8"/>
    <w:rsid w:val="00863BDD"/>
    <w:rsid w:val="008C1FAF"/>
    <w:rsid w:val="008D341D"/>
    <w:rsid w:val="009659C1"/>
    <w:rsid w:val="009713E2"/>
    <w:rsid w:val="00995D1F"/>
    <w:rsid w:val="009E3171"/>
    <w:rsid w:val="009F1D82"/>
    <w:rsid w:val="00A01036"/>
    <w:rsid w:val="00A03D66"/>
    <w:rsid w:val="00A1136E"/>
    <w:rsid w:val="00B31EEC"/>
    <w:rsid w:val="00B357A1"/>
    <w:rsid w:val="00B460C3"/>
    <w:rsid w:val="00B66760"/>
    <w:rsid w:val="00BB0F0B"/>
    <w:rsid w:val="00BD51D3"/>
    <w:rsid w:val="00C11145"/>
    <w:rsid w:val="00C14A50"/>
    <w:rsid w:val="00C80FBA"/>
    <w:rsid w:val="00D42992"/>
    <w:rsid w:val="00D626EF"/>
    <w:rsid w:val="00D90D8D"/>
    <w:rsid w:val="00DA4502"/>
    <w:rsid w:val="00DB42FA"/>
    <w:rsid w:val="00DC743A"/>
    <w:rsid w:val="00DF4F54"/>
    <w:rsid w:val="00E80D66"/>
    <w:rsid w:val="00E939CC"/>
    <w:rsid w:val="00EC42C1"/>
    <w:rsid w:val="00EC6757"/>
    <w:rsid w:val="00F6379E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A071-8A3F-4B32-9476-7499FBEF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34</Pages>
  <Words>9788</Words>
  <Characters>55797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20</cp:revision>
  <cp:lastPrinted>2019-04-15T08:13:00Z</cp:lastPrinted>
  <dcterms:created xsi:type="dcterms:W3CDTF">2016-07-26T10:38:00Z</dcterms:created>
  <dcterms:modified xsi:type="dcterms:W3CDTF">2019-04-15T08:15:00Z</dcterms:modified>
</cp:coreProperties>
</file>